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45" w:rsidRPr="00A41845" w:rsidRDefault="00A41845">
      <w:pPr>
        <w:rPr>
          <w:rFonts w:ascii="Maiandra GD" w:hAnsi="Maiandra GD"/>
        </w:rPr>
      </w:pPr>
      <w:bookmarkStart w:id="0" w:name="_GoBack"/>
      <w:bookmarkEnd w:id="0"/>
    </w:p>
    <w:p w:rsidR="00A41845" w:rsidRPr="00A41845" w:rsidRDefault="00672F72" w:rsidP="00672F72">
      <w:pPr>
        <w:jc w:val="center"/>
        <w:rPr>
          <w:rFonts w:ascii="Maiandra GD" w:hAnsi="Maiandra GD"/>
        </w:rPr>
      </w:pPr>
      <w:r>
        <w:rPr>
          <w:rFonts w:ascii="Maiandra GD" w:hAnsi="Maiandra GD"/>
          <w:noProof/>
        </w:rPr>
        <w:drawing>
          <wp:inline distT="0" distB="0" distL="0" distR="0" wp14:anchorId="1E0E49B4">
            <wp:extent cx="226822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8220" cy="725170"/>
                    </a:xfrm>
                    <a:prstGeom prst="rect">
                      <a:avLst/>
                    </a:prstGeom>
                    <a:noFill/>
                  </pic:spPr>
                </pic:pic>
              </a:graphicData>
            </a:graphic>
          </wp:inline>
        </w:drawing>
      </w:r>
    </w:p>
    <w:p w:rsidR="00A41845" w:rsidRPr="00A41845" w:rsidRDefault="00A41845" w:rsidP="00A41845">
      <w:pPr>
        <w:rPr>
          <w:rFonts w:ascii="Maiandra GD" w:hAnsi="Maiandra GD"/>
        </w:rPr>
      </w:pPr>
    </w:p>
    <w:p w:rsidR="00A41845" w:rsidRPr="00A41845" w:rsidRDefault="00A41845" w:rsidP="00A41845">
      <w:pPr>
        <w:rPr>
          <w:rFonts w:ascii="Maiandra GD" w:hAnsi="Maiandra GD"/>
        </w:rPr>
      </w:pPr>
    </w:p>
    <w:p w:rsidR="00A41845" w:rsidRDefault="000F59F2" w:rsidP="00672F72">
      <w:pPr>
        <w:rPr>
          <w:rFonts w:ascii="Maiandra GD" w:eastAsia="Calibri" w:hAnsi="Maiandra GD"/>
          <w:sz w:val="24"/>
          <w:szCs w:val="24"/>
        </w:rPr>
      </w:pPr>
      <w:r>
        <w:rPr>
          <w:rFonts w:ascii="Maiandra GD" w:eastAsia="Calibri" w:hAnsi="Maiandra GD"/>
          <w:sz w:val="24"/>
          <w:szCs w:val="24"/>
        </w:rPr>
        <w:t>February 3</w:t>
      </w:r>
      <w:r w:rsidR="00A41845" w:rsidRPr="00A41845">
        <w:rPr>
          <w:rFonts w:ascii="Maiandra GD" w:eastAsia="Calibri" w:hAnsi="Maiandra GD"/>
          <w:sz w:val="24"/>
          <w:szCs w:val="24"/>
        </w:rPr>
        <w:t>, 2015</w:t>
      </w:r>
    </w:p>
    <w:p w:rsidR="00A41845" w:rsidRPr="00A41845" w:rsidRDefault="00A41845" w:rsidP="00A41845">
      <w:pPr>
        <w:ind w:firstLine="720"/>
        <w:rPr>
          <w:rFonts w:ascii="Maiandra GD" w:eastAsia="Calibri" w:hAnsi="Maiandra GD"/>
          <w:sz w:val="24"/>
          <w:szCs w:val="24"/>
        </w:rPr>
      </w:pPr>
    </w:p>
    <w:p w:rsidR="00A41845" w:rsidRDefault="00A41845" w:rsidP="00672F72">
      <w:pPr>
        <w:rPr>
          <w:rFonts w:ascii="Maiandra GD" w:eastAsia="Calibri" w:hAnsi="Maiandra GD"/>
          <w:sz w:val="24"/>
          <w:szCs w:val="24"/>
        </w:rPr>
      </w:pPr>
      <w:r w:rsidRPr="00A41845">
        <w:rPr>
          <w:rFonts w:ascii="Maiandra GD" w:eastAsia="Calibri" w:hAnsi="Maiandra GD"/>
          <w:sz w:val="24"/>
          <w:szCs w:val="24"/>
        </w:rPr>
        <w:t>To the staff of the</w:t>
      </w:r>
      <w:r w:rsidR="00672F72">
        <w:rPr>
          <w:rFonts w:ascii="Maiandra GD" w:eastAsia="Calibri" w:hAnsi="Maiandra GD"/>
          <w:sz w:val="24"/>
          <w:szCs w:val="24"/>
        </w:rPr>
        <w:t xml:space="preserve"> Clear Lake Community Schools</w:t>
      </w:r>
      <w:r w:rsidRPr="00A41845">
        <w:rPr>
          <w:rFonts w:ascii="Maiandra GD" w:eastAsia="Calibri" w:hAnsi="Maiandra GD"/>
          <w:sz w:val="24"/>
          <w:szCs w:val="24"/>
        </w:rPr>
        <w:t>:</w:t>
      </w:r>
    </w:p>
    <w:p w:rsidR="00A41845" w:rsidRPr="00A41845" w:rsidRDefault="00A41845" w:rsidP="00A41845">
      <w:pPr>
        <w:ind w:firstLine="720"/>
        <w:rPr>
          <w:rFonts w:ascii="Maiandra GD" w:eastAsia="Calibri" w:hAnsi="Maiandra GD"/>
          <w:sz w:val="24"/>
          <w:szCs w:val="24"/>
        </w:rPr>
      </w:pPr>
    </w:p>
    <w:p w:rsidR="00A41845" w:rsidRPr="00A41845" w:rsidRDefault="00A41845" w:rsidP="00A41845">
      <w:pPr>
        <w:ind w:firstLine="720"/>
        <w:rPr>
          <w:rFonts w:ascii="Maiandra GD" w:eastAsia="Calibri" w:hAnsi="Maiandra GD"/>
          <w:sz w:val="24"/>
          <w:szCs w:val="24"/>
        </w:rPr>
      </w:pPr>
      <w:r w:rsidRPr="00A41845">
        <w:rPr>
          <w:rFonts w:ascii="Maiandra GD" w:eastAsia="Calibri" w:hAnsi="Maiandra GD"/>
          <w:sz w:val="24"/>
          <w:szCs w:val="24"/>
        </w:rPr>
        <w:t xml:space="preserve">With the increase in measles cases in the United States the Cerro Gordo County Department of Public Health is encouraging all adults to review their immunization records as well as records for their </w:t>
      </w:r>
      <w:r>
        <w:rPr>
          <w:rFonts w:ascii="Maiandra GD" w:eastAsia="Calibri" w:hAnsi="Maiandra GD"/>
          <w:sz w:val="24"/>
          <w:szCs w:val="24"/>
        </w:rPr>
        <w:t>children.  Currently there</w:t>
      </w:r>
      <w:r w:rsidRPr="00A41845">
        <w:rPr>
          <w:rFonts w:ascii="Maiandra GD" w:eastAsia="Calibri" w:hAnsi="Maiandra GD"/>
          <w:sz w:val="24"/>
          <w:szCs w:val="24"/>
        </w:rPr>
        <w:t xml:space="preserve"> is an increase in measles cases in the United States</w:t>
      </w:r>
      <w:r w:rsidR="00320E05">
        <w:rPr>
          <w:rFonts w:ascii="Maiandra GD" w:eastAsia="Calibri" w:hAnsi="Maiandra GD"/>
          <w:sz w:val="24"/>
          <w:szCs w:val="24"/>
        </w:rPr>
        <w:t>,</w:t>
      </w:r>
      <w:r w:rsidRPr="00A41845">
        <w:rPr>
          <w:rFonts w:ascii="Maiandra GD" w:eastAsia="Calibri" w:hAnsi="Maiandra GD"/>
          <w:sz w:val="24"/>
          <w:szCs w:val="24"/>
        </w:rPr>
        <w:t xml:space="preserve"> with confirmed cases in neighboring states such as Nebraska (2 cases), South Dakota (10 cases), Minnesota (1 case), and Illinois (1 case)</w:t>
      </w:r>
      <w:r>
        <w:rPr>
          <w:rFonts w:ascii="Maiandra GD" w:eastAsia="Calibri" w:hAnsi="Maiandra GD"/>
          <w:sz w:val="24"/>
          <w:szCs w:val="24"/>
        </w:rPr>
        <w:t>.  Fortunately</w:t>
      </w:r>
      <w:r w:rsidR="00320E05">
        <w:rPr>
          <w:rFonts w:ascii="Maiandra GD" w:eastAsia="Calibri" w:hAnsi="Maiandra GD"/>
          <w:sz w:val="24"/>
          <w:szCs w:val="24"/>
        </w:rPr>
        <w:t xml:space="preserve">, at this time, there are </w:t>
      </w:r>
      <w:r w:rsidR="00320E05">
        <w:rPr>
          <w:rFonts w:ascii="Maiandra GD" w:eastAsia="Calibri" w:hAnsi="Maiandra GD"/>
          <w:b/>
          <w:sz w:val="24"/>
          <w:szCs w:val="24"/>
          <w:u w:val="single"/>
        </w:rPr>
        <w:t>NO</w:t>
      </w:r>
      <w:r w:rsidR="00320E05">
        <w:rPr>
          <w:rFonts w:ascii="Maiandra GD" w:eastAsia="Calibri" w:hAnsi="Maiandra GD"/>
          <w:sz w:val="24"/>
          <w:szCs w:val="24"/>
        </w:rPr>
        <w:t xml:space="preserve"> cases of measles in Iowa</w:t>
      </w:r>
      <w:r w:rsidR="00761794">
        <w:rPr>
          <w:rFonts w:ascii="Maiandra GD" w:eastAsia="Calibri" w:hAnsi="Maiandra GD"/>
          <w:sz w:val="24"/>
          <w:szCs w:val="24"/>
        </w:rPr>
        <w:t>,</w:t>
      </w:r>
      <w:r w:rsidR="00320E05">
        <w:rPr>
          <w:rFonts w:ascii="Maiandra GD" w:eastAsia="Calibri" w:hAnsi="Maiandra GD"/>
          <w:sz w:val="24"/>
          <w:szCs w:val="24"/>
        </w:rPr>
        <w:t xml:space="preserve"> yet the risk remains high.</w:t>
      </w:r>
    </w:p>
    <w:p w:rsidR="00A41845" w:rsidRDefault="00A41845" w:rsidP="00A41845">
      <w:pPr>
        <w:ind w:firstLine="720"/>
        <w:rPr>
          <w:rFonts w:ascii="Maiandra GD" w:eastAsia="Calibri" w:hAnsi="Maiandra GD"/>
          <w:sz w:val="24"/>
          <w:szCs w:val="24"/>
        </w:rPr>
      </w:pPr>
    </w:p>
    <w:p w:rsidR="00A41845" w:rsidRPr="00A41845" w:rsidRDefault="00A41845" w:rsidP="00A41845">
      <w:pPr>
        <w:ind w:firstLine="720"/>
        <w:rPr>
          <w:rFonts w:ascii="Maiandra GD" w:eastAsia="Calibri" w:hAnsi="Maiandra GD"/>
          <w:sz w:val="24"/>
          <w:szCs w:val="24"/>
        </w:rPr>
      </w:pPr>
      <w:r w:rsidRPr="00A41845">
        <w:rPr>
          <w:rFonts w:ascii="Maiandra GD" w:eastAsia="Calibri" w:hAnsi="Maiandra GD"/>
          <w:sz w:val="24"/>
          <w:szCs w:val="24"/>
        </w:rPr>
        <w:t>Measles is one of the most contagious diseases and is spread through the air by droplets of respiratory secretions from an infected person.  The measles virus can live in the air and on surfaces for up to 2 hours.  Approximately 90% of individuals who are unvaccinated or have no natu</w:t>
      </w:r>
      <w:r w:rsidR="00320E05">
        <w:rPr>
          <w:rFonts w:ascii="Maiandra GD" w:eastAsia="Calibri" w:hAnsi="Maiandra GD"/>
          <w:sz w:val="24"/>
          <w:szCs w:val="24"/>
        </w:rPr>
        <w:t>ral immunity to the disease will</w:t>
      </w:r>
      <w:r w:rsidRPr="00A41845">
        <w:rPr>
          <w:rFonts w:ascii="Maiandra GD" w:eastAsia="Calibri" w:hAnsi="Maiandra GD"/>
          <w:sz w:val="24"/>
          <w:szCs w:val="24"/>
        </w:rPr>
        <w:t xml:space="preserve"> contract the illness if they have close contact with an infected person.  With no treatment currently available prevention</w:t>
      </w:r>
      <w:r w:rsidR="00320E05">
        <w:rPr>
          <w:rFonts w:ascii="Maiandra GD" w:eastAsia="Calibri" w:hAnsi="Maiandra GD"/>
          <w:sz w:val="24"/>
          <w:szCs w:val="24"/>
        </w:rPr>
        <w:t xml:space="preserve"> of this disease </w:t>
      </w:r>
      <w:r w:rsidRPr="00A41845">
        <w:rPr>
          <w:rFonts w:ascii="Maiandra GD" w:eastAsia="Calibri" w:hAnsi="Maiandra GD"/>
          <w:sz w:val="24"/>
          <w:szCs w:val="24"/>
        </w:rPr>
        <w:t xml:space="preserve">is crucial.  </w:t>
      </w:r>
    </w:p>
    <w:p w:rsidR="00A41845" w:rsidRDefault="00A41845" w:rsidP="00A41845">
      <w:pPr>
        <w:ind w:firstLine="720"/>
        <w:rPr>
          <w:rFonts w:ascii="Maiandra GD" w:eastAsia="Calibri" w:hAnsi="Maiandra GD"/>
          <w:sz w:val="24"/>
          <w:szCs w:val="24"/>
        </w:rPr>
      </w:pPr>
    </w:p>
    <w:p w:rsidR="00A41845" w:rsidRDefault="00A41845" w:rsidP="00A41845">
      <w:pPr>
        <w:ind w:firstLine="720"/>
        <w:rPr>
          <w:rFonts w:ascii="Maiandra GD" w:eastAsia="Calibri" w:hAnsi="Maiandra GD"/>
          <w:sz w:val="24"/>
          <w:szCs w:val="24"/>
        </w:rPr>
      </w:pPr>
      <w:r w:rsidRPr="00A41845">
        <w:rPr>
          <w:rFonts w:ascii="Maiandra GD" w:eastAsia="Calibri" w:hAnsi="Maiandra GD"/>
          <w:sz w:val="24"/>
          <w:szCs w:val="24"/>
        </w:rPr>
        <w:t>MMR Vaccine Recommendations:</w:t>
      </w:r>
    </w:p>
    <w:p w:rsidR="00A41845" w:rsidRPr="00A41845" w:rsidRDefault="00A41845" w:rsidP="00A41845">
      <w:pPr>
        <w:ind w:firstLine="720"/>
        <w:rPr>
          <w:rFonts w:ascii="Maiandra GD" w:eastAsia="Calibri" w:hAnsi="Maiandra GD"/>
          <w:sz w:val="24"/>
          <w:szCs w:val="24"/>
        </w:rPr>
      </w:pPr>
    </w:p>
    <w:p w:rsidR="00A41845" w:rsidRPr="00A41845" w:rsidRDefault="00A41845" w:rsidP="00A41845">
      <w:pPr>
        <w:numPr>
          <w:ilvl w:val="0"/>
          <w:numId w:val="4"/>
        </w:numPr>
        <w:autoSpaceDE w:val="0"/>
        <w:autoSpaceDN w:val="0"/>
        <w:adjustRightInd w:val="0"/>
        <w:rPr>
          <w:rFonts w:ascii="Maiandra GD" w:eastAsia="Calibri" w:hAnsi="Maiandra GD" w:cs="Times New Roman"/>
          <w:color w:val="000000"/>
          <w:sz w:val="24"/>
          <w:szCs w:val="24"/>
        </w:rPr>
      </w:pPr>
      <w:r w:rsidRPr="00A41845">
        <w:rPr>
          <w:rFonts w:ascii="Maiandra GD" w:eastAsia="Calibri" w:hAnsi="Maiandra GD" w:cs="Times New Roman"/>
          <w:color w:val="000000"/>
          <w:sz w:val="24"/>
          <w:szCs w:val="24"/>
        </w:rPr>
        <w:t>Children:  2 doses</w:t>
      </w:r>
    </w:p>
    <w:p w:rsidR="00A41845" w:rsidRPr="00A41845" w:rsidRDefault="00A41845" w:rsidP="00A41845">
      <w:pPr>
        <w:numPr>
          <w:ilvl w:val="3"/>
          <w:numId w:val="2"/>
        </w:numPr>
        <w:autoSpaceDE w:val="0"/>
        <w:autoSpaceDN w:val="0"/>
        <w:adjustRightInd w:val="0"/>
        <w:rPr>
          <w:rFonts w:ascii="Maiandra GD" w:eastAsia="Calibri" w:hAnsi="Maiandra GD" w:cs="Times New Roman"/>
          <w:color w:val="000000"/>
          <w:sz w:val="24"/>
          <w:szCs w:val="24"/>
        </w:rPr>
      </w:pPr>
      <w:r w:rsidRPr="00A41845">
        <w:rPr>
          <w:rFonts w:ascii="Maiandra GD" w:eastAsia="Calibri" w:hAnsi="Maiandra GD" w:cs="Times New Roman"/>
          <w:color w:val="000000"/>
          <w:sz w:val="24"/>
          <w:szCs w:val="24"/>
        </w:rPr>
        <w:t>First dose – 12-15 months of age</w:t>
      </w:r>
    </w:p>
    <w:p w:rsidR="00A41845" w:rsidRPr="00A41845" w:rsidRDefault="00A41845" w:rsidP="00A41845">
      <w:pPr>
        <w:numPr>
          <w:ilvl w:val="0"/>
          <w:numId w:val="3"/>
        </w:numPr>
        <w:autoSpaceDE w:val="0"/>
        <w:autoSpaceDN w:val="0"/>
        <w:adjustRightInd w:val="0"/>
        <w:rPr>
          <w:rFonts w:ascii="Maiandra GD" w:eastAsia="Calibri" w:hAnsi="Maiandra GD" w:cs="Times New Roman"/>
          <w:color w:val="000000"/>
          <w:sz w:val="24"/>
          <w:szCs w:val="24"/>
        </w:rPr>
      </w:pPr>
      <w:r w:rsidRPr="00A41845">
        <w:rPr>
          <w:rFonts w:ascii="Maiandra GD" w:eastAsia="Calibri" w:hAnsi="Maiandra GD" w:cs="Times New Roman"/>
          <w:color w:val="000000"/>
          <w:sz w:val="24"/>
          <w:szCs w:val="24"/>
        </w:rPr>
        <w:t>Some infants younger than 12 months of age should get a dose of MMR if they are traveling out of the country</w:t>
      </w:r>
      <w:r w:rsidR="00761794">
        <w:rPr>
          <w:rFonts w:ascii="Maiandra GD" w:eastAsia="Calibri" w:hAnsi="Maiandra GD" w:cs="Times New Roman"/>
          <w:color w:val="000000"/>
          <w:sz w:val="24"/>
          <w:szCs w:val="24"/>
        </w:rPr>
        <w:t>.  If a child has received this dose in the past this does not count towards their primary series.</w:t>
      </w:r>
    </w:p>
    <w:p w:rsidR="00A41845" w:rsidRPr="00A41845" w:rsidRDefault="00A41845" w:rsidP="00A41845">
      <w:pPr>
        <w:numPr>
          <w:ilvl w:val="3"/>
          <w:numId w:val="2"/>
        </w:numPr>
        <w:autoSpaceDE w:val="0"/>
        <w:autoSpaceDN w:val="0"/>
        <w:adjustRightInd w:val="0"/>
        <w:rPr>
          <w:rFonts w:ascii="Maiandra GD" w:eastAsia="Calibri" w:hAnsi="Maiandra GD" w:cs="Times New Roman"/>
          <w:color w:val="000000"/>
          <w:sz w:val="24"/>
          <w:szCs w:val="24"/>
        </w:rPr>
      </w:pPr>
      <w:r w:rsidRPr="00A41845">
        <w:rPr>
          <w:rFonts w:ascii="Maiandra GD" w:eastAsia="Calibri" w:hAnsi="Maiandra GD" w:cs="Times New Roman"/>
          <w:color w:val="000000"/>
          <w:sz w:val="24"/>
          <w:szCs w:val="24"/>
        </w:rPr>
        <w:t>Second dose – 4-6 years of age</w:t>
      </w:r>
    </w:p>
    <w:p w:rsidR="00A41845" w:rsidRPr="00A41845" w:rsidRDefault="00A41845" w:rsidP="00A41845">
      <w:pPr>
        <w:autoSpaceDE w:val="0"/>
        <w:autoSpaceDN w:val="0"/>
        <w:adjustRightInd w:val="0"/>
        <w:ind w:left="1440"/>
        <w:rPr>
          <w:rFonts w:ascii="Maiandra GD" w:eastAsia="Calibri" w:hAnsi="Maiandra GD" w:cs="Times New Roman"/>
          <w:color w:val="000000"/>
          <w:sz w:val="24"/>
          <w:szCs w:val="24"/>
        </w:rPr>
      </w:pPr>
    </w:p>
    <w:p w:rsidR="00A41845" w:rsidRPr="00A41845" w:rsidRDefault="00A41845" w:rsidP="00A41845">
      <w:pPr>
        <w:numPr>
          <w:ilvl w:val="0"/>
          <w:numId w:val="1"/>
        </w:numPr>
        <w:autoSpaceDE w:val="0"/>
        <w:autoSpaceDN w:val="0"/>
        <w:adjustRightInd w:val="0"/>
        <w:rPr>
          <w:rFonts w:ascii="Maiandra GD" w:eastAsia="Calibri" w:hAnsi="Maiandra GD" w:cs="Times New Roman"/>
          <w:color w:val="000000"/>
          <w:sz w:val="24"/>
          <w:szCs w:val="24"/>
        </w:rPr>
      </w:pPr>
      <w:r w:rsidRPr="00A41845">
        <w:rPr>
          <w:rFonts w:ascii="Maiandra GD" w:eastAsia="Calibri" w:hAnsi="Maiandra GD" w:cs="Times New Roman"/>
          <w:color w:val="000000"/>
          <w:sz w:val="24"/>
          <w:szCs w:val="24"/>
        </w:rPr>
        <w:t>Adolescents:  2 doses if the adolescent does not have proof of vaccination as a child</w:t>
      </w:r>
    </w:p>
    <w:p w:rsidR="00A41845" w:rsidRPr="00A41845" w:rsidRDefault="00A41845" w:rsidP="00A41845">
      <w:pPr>
        <w:autoSpaceDE w:val="0"/>
        <w:autoSpaceDN w:val="0"/>
        <w:adjustRightInd w:val="0"/>
        <w:ind w:left="720"/>
        <w:rPr>
          <w:rFonts w:ascii="Maiandra GD" w:eastAsia="Calibri" w:hAnsi="Maiandra GD" w:cs="Times New Roman"/>
          <w:color w:val="000000"/>
          <w:sz w:val="24"/>
          <w:szCs w:val="24"/>
        </w:rPr>
      </w:pPr>
      <w:r w:rsidRPr="00A41845">
        <w:rPr>
          <w:rFonts w:ascii="Maiandra GD" w:eastAsia="Calibri" w:hAnsi="Maiandra GD" w:cs="Times New Roman"/>
          <w:color w:val="000000"/>
          <w:sz w:val="24"/>
          <w:szCs w:val="24"/>
        </w:rPr>
        <w:t xml:space="preserve">                </w:t>
      </w:r>
    </w:p>
    <w:p w:rsidR="00A41845" w:rsidRPr="00A41845" w:rsidRDefault="00A41845" w:rsidP="00A41845">
      <w:pPr>
        <w:numPr>
          <w:ilvl w:val="0"/>
          <w:numId w:val="1"/>
        </w:numPr>
        <w:rPr>
          <w:rFonts w:ascii="Maiandra GD" w:eastAsia="Calibri" w:hAnsi="Maiandra GD"/>
          <w:sz w:val="24"/>
          <w:szCs w:val="24"/>
        </w:rPr>
      </w:pPr>
      <w:r w:rsidRPr="00A41845">
        <w:rPr>
          <w:rFonts w:ascii="Maiandra GD" w:eastAsia="Calibri" w:hAnsi="Maiandra GD" w:cs="Minion Pro"/>
          <w:color w:val="000000"/>
          <w:sz w:val="24"/>
          <w:szCs w:val="24"/>
        </w:rPr>
        <w:t>Adults born in 1957 or later:  Receive one dose or have proof of immunity (positive MMR titer)</w:t>
      </w:r>
    </w:p>
    <w:p w:rsidR="00A41845" w:rsidRPr="00A41845" w:rsidRDefault="00A41845" w:rsidP="00086765">
      <w:pPr>
        <w:ind w:left="3600"/>
        <w:rPr>
          <w:rFonts w:ascii="Maiandra GD" w:eastAsia="Calibri" w:hAnsi="Maiandra GD"/>
          <w:sz w:val="24"/>
          <w:szCs w:val="24"/>
        </w:rPr>
      </w:pPr>
      <w:r>
        <w:rPr>
          <w:rFonts w:ascii="Maiandra GD" w:eastAsia="Calibri" w:hAnsi="Maiandra GD"/>
          <w:sz w:val="24"/>
          <w:szCs w:val="24"/>
        </w:rPr>
        <w:t xml:space="preserve">  </w:t>
      </w:r>
      <w:r w:rsidR="00696529">
        <w:rPr>
          <w:rFonts w:ascii="Maiandra GD" w:eastAsia="Calibri" w:hAnsi="Maiandra GD"/>
          <w:sz w:val="24"/>
          <w:szCs w:val="24"/>
        </w:rPr>
        <w:t xml:space="preserve"> </w:t>
      </w:r>
      <w:r>
        <w:rPr>
          <w:rFonts w:ascii="Maiandra GD" w:eastAsia="Calibri" w:hAnsi="Maiandra GD"/>
          <w:sz w:val="24"/>
          <w:szCs w:val="24"/>
        </w:rPr>
        <w:t xml:space="preserve"> </w:t>
      </w:r>
      <w:r w:rsidR="00696529">
        <w:rPr>
          <w:rFonts w:ascii="Maiandra GD" w:eastAsia="Calibri" w:hAnsi="Maiandra GD"/>
          <w:sz w:val="24"/>
          <w:szCs w:val="24"/>
        </w:rPr>
        <w:t>School staff may elect to</w:t>
      </w:r>
      <w:r w:rsidR="00320E05">
        <w:rPr>
          <w:rFonts w:ascii="Maiandra GD" w:eastAsia="Calibri" w:hAnsi="Maiandra GD"/>
          <w:sz w:val="24"/>
          <w:szCs w:val="24"/>
        </w:rPr>
        <w:t xml:space="preserve"> have 2 doses</w:t>
      </w:r>
    </w:p>
    <w:p w:rsidR="00A41845" w:rsidRPr="00A41845" w:rsidRDefault="00A41845" w:rsidP="00A41845">
      <w:pPr>
        <w:rPr>
          <w:rFonts w:ascii="Maiandra GD" w:eastAsia="Calibri" w:hAnsi="Maiandra GD"/>
          <w:sz w:val="24"/>
          <w:szCs w:val="24"/>
        </w:rPr>
      </w:pPr>
    </w:p>
    <w:p w:rsidR="00A41845" w:rsidRDefault="00A41845" w:rsidP="00A41845">
      <w:pPr>
        <w:numPr>
          <w:ilvl w:val="0"/>
          <w:numId w:val="5"/>
        </w:numPr>
        <w:rPr>
          <w:rFonts w:ascii="Maiandra GD" w:eastAsia="Calibri" w:hAnsi="Maiandra GD"/>
          <w:sz w:val="24"/>
          <w:szCs w:val="24"/>
        </w:rPr>
      </w:pPr>
      <w:r w:rsidRPr="00A41845">
        <w:rPr>
          <w:rFonts w:ascii="Maiandra GD" w:eastAsia="Calibri" w:hAnsi="Maiandra GD"/>
          <w:sz w:val="24"/>
          <w:szCs w:val="24"/>
        </w:rPr>
        <w:t>Adults born in 1956 or earlier:  You are presumed to have had meas</w:t>
      </w:r>
      <w:r>
        <w:rPr>
          <w:rFonts w:ascii="Maiandra GD" w:eastAsia="Calibri" w:hAnsi="Maiandra GD"/>
          <w:sz w:val="24"/>
          <w:szCs w:val="24"/>
        </w:rPr>
        <w:t xml:space="preserve">les and are immune since   </w:t>
      </w:r>
    </w:p>
    <w:p w:rsidR="00A41845" w:rsidRDefault="00A41845" w:rsidP="00A41845">
      <w:pPr>
        <w:ind w:left="720"/>
        <w:rPr>
          <w:rFonts w:ascii="Maiandra GD" w:eastAsia="Calibri" w:hAnsi="Maiandra GD"/>
          <w:sz w:val="24"/>
          <w:szCs w:val="24"/>
        </w:rPr>
      </w:pPr>
      <w:r>
        <w:rPr>
          <w:rFonts w:ascii="Maiandra GD" w:eastAsia="Calibri" w:hAnsi="Maiandra GD"/>
          <w:sz w:val="24"/>
          <w:szCs w:val="24"/>
        </w:rPr>
        <w:t xml:space="preserve">                                               measles</w:t>
      </w:r>
      <w:r w:rsidRPr="00A41845">
        <w:rPr>
          <w:rFonts w:ascii="Maiandra GD" w:eastAsia="Calibri" w:hAnsi="Maiandra GD"/>
          <w:sz w:val="24"/>
          <w:szCs w:val="24"/>
        </w:rPr>
        <w:t xml:space="preserve"> was so common back then</w:t>
      </w:r>
      <w:r>
        <w:rPr>
          <w:rFonts w:ascii="Maiandra GD" w:eastAsia="Calibri" w:hAnsi="Maiandra GD"/>
          <w:sz w:val="24"/>
          <w:szCs w:val="24"/>
        </w:rPr>
        <w:t xml:space="preserve">, however school staff may  </w:t>
      </w:r>
    </w:p>
    <w:p w:rsidR="00A41845" w:rsidRPr="00A41845" w:rsidRDefault="00A41845" w:rsidP="00320E05">
      <w:pPr>
        <w:ind w:left="720"/>
        <w:rPr>
          <w:rFonts w:ascii="Maiandra GD" w:eastAsia="Calibri" w:hAnsi="Maiandra GD"/>
          <w:sz w:val="24"/>
          <w:szCs w:val="24"/>
        </w:rPr>
      </w:pPr>
      <w:r>
        <w:rPr>
          <w:rFonts w:ascii="Maiandra GD" w:eastAsia="Calibri" w:hAnsi="Maiandra GD"/>
          <w:sz w:val="24"/>
          <w:szCs w:val="24"/>
        </w:rPr>
        <w:t xml:space="preserve">                                               </w:t>
      </w:r>
      <w:r w:rsidR="00320E05">
        <w:rPr>
          <w:rFonts w:ascii="Maiandra GD" w:eastAsia="Calibri" w:hAnsi="Maiandra GD"/>
          <w:sz w:val="24"/>
          <w:szCs w:val="24"/>
        </w:rPr>
        <w:t>elect to have one</w:t>
      </w:r>
      <w:r w:rsidRPr="00A41845">
        <w:rPr>
          <w:rFonts w:ascii="Maiandra GD" w:eastAsia="Calibri" w:hAnsi="Maiandra GD"/>
          <w:sz w:val="24"/>
          <w:szCs w:val="24"/>
        </w:rPr>
        <w:t xml:space="preserve"> dose</w:t>
      </w:r>
    </w:p>
    <w:p w:rsidR="00A41845" w:rsidRPr="00A41845" w:rsidRDefault="00A41845" w:rsidP="00A41845">
      <w:pPr>
        <w:ind w:left="720"/>
        <w:rPr>
          <w:rFonts w:ascii="Maiandra GD" w:eastAsia="Calibri" w:hAnsi="Maiandra GD"/>
          <w:sz w:val="24"/>
          <w:szCs w:val="24"/>
        </w:rPr>
      </w:pPr>
    </w:p>
    <w:p w:rsidR="00A41845" w:rsidRPr="00A41845" w:rsidRDefault="00A41845" w:rsidP="00A41845">
      <w:pPr>
        <w:numPr>
          <w:ilvl w:val="0"/>
          <w:numId w:val="5"/>
        </w:numPr>
        <w:rPr>
          <w:rFonts w:ascii="Maiandra GD" w:eastAsia="Times New Roman" w:hAnsi="Maiandra GD" w:cs="Times New Roman"/>
          <w:sz w:val="22"/>
          <w:szCs w:val="22"/>
        </w:rPr>
      </w:pPr>
      <w:r w:rsidRPr="00A41845">
        <w:rPr>
          <w:rFonts w:ascii="Maiandra GD" w:eastAsia="Times New Roman" w:hAnsi="Maiandra GD" w:cs="Times New Roman"/>
          <w:sz w:val="24"/>
          <w:szCs w:val="24"/>
        </w:rPr>
        <w:t xml:space="preserve">Individuals who are unsure of </w:t>
      </w:r>
      <w:r>
        <w:rPr>
          <w:rFonts w:ascii="Maiandra GD" w:eastAsia="Times New Roman" w:hAnsi="Maiandra GD" w:cs="Times New Roman"/>
          <w:sz w:val="24"/>
          <w:szCs w:val="24"/>
        </w:rPr>
        <w:t xml:space="preserve">their </w:t>
      </w:r>
      <w:r w:rsidRPr="00A41845">
        <w:rPr>
          <w:rFonts w:ascii="Maiandra GD" w:eastAsia="Times New Roman" w:hAnsi="Maiandra GD" w:cs="Times New Roman"/>
          <w:sz w:val="24"/>
          <w:szCs w:val="24"/>
        </w:rPr>
        <w:t xml:space="preserve">vaccination status or prior history of the measles should receive the </w:t>
      </w:r>
      <w:r w:rsidRPr="00A41845">
        <w:rPr>
          <w:rFonts w:ascii="Maiandra GD" w:eastAsia="Times New Roman" w:hAnsi="Maiandra GD" w:cs="Times New Roman"/>
          <w:sz w:val="22"/>
          <w:szCs w:val="22"/>
        </w:rPr>
        <w:t xml:space="preserve">recommended vaccines.  </w:t>
      </w:r>
    </w:p>
    <w:p w:rsidR="00A41845" w:rsidRPr="00A41845" w:rsidRDefault="00A41845" w:rsidP="00A41845">
      <w:pPr>
        <w:ind w:left="360"/>
        <w:rPr>
          <w:rFonts w:ascii="Maiandra GD" w:eastAsia="Times New Roman" w:hAnsi="Maiandra GD" w:cs="Times New Roman"/>
          <w:sz w:val="24"/>
          <w:szCs w:val="24"/>
        </w:rPr>
      </w:pPr>
    </w:p>
    <w:p w:rsidR="00A41845" w:rsidRPr="00A41845" w:rsidRDefault="00A41845" w:rsidP="00A41845">
      <w:pPr>
        <w:ind w:left="360" w:firstLine="360"/>
        <w:rPr>
          <w:rFonts w:ascii="Maiandra GD" w:eastAsia="Times New Roman" w:hAnsi="Maiandra GD" w:cs="Times New Roman"/>
          <w:sz w:val="24"/>
          <w:szCs w:val="24"/>
        </w:rPr>
      </w:pPr>
      <w:r>
        <w:rPr>
          <w:rFonts w:ascii="Maiandra GD" w:eastAsia="Times New Roman" w:hAnsi="Maiandra GD" w:cs="Times New Roman"/>
          <w:sz w:val="24"/>
          <w:szCs w:val="24"/>
        </w:rPr>
        <w:t>Our hope is that the measles does not become a concern in our area but would like staff to be prepared should a case be identified in your school.  If a case of measles is</w:t>
      </w:r>
      <w:r w:rsidRPr="00A41845">
        <w:rPr>
          <w:rFonts w:ascii="Maiandra GD" w:eastAsia="Times New Roman" w:hAnsi="Maiandra GD" w:cs="Times New Roman"/>
          <w:sz w:val="24"/>
          <w:szCs w:val="24"/>
        </w:rPr>
        <w:t xml:space="preserve"> identified in your school the Iowa Department of</w:t>
      </w:r>
      <w:r w:rsidR="00320E05">
        <w:rPr>
          <w:rFonts w:ascii="Maiandra GD" w:eastAsia="Times New Roman" w:hAnsi="Maiandra GD" w:cs="Times New Roman"/>
          <w:sz w:val="24"/>
          <w:szCs w:val="24"/>
        </w:rPr>
        <w:t xml:space="preserve"> Public Health</w:t>
      </w:r>
      <w:r w:rsidR="00761794">
        <w:rPr>
          <w:rFonts w:ascii="Maiandra GD" w:eastAsia="Times New Roman" w:hAnsi="Maiandra GD" w:cs="Times New Roman"/>
          <w:sz w:val="24"/>
          <w:szCs w:val="24"/>
        </w:rPr>
        <w:t xml:space="preserve"> (IDPH)</w:t>
      </w:r>
      <w:r w:rsidR="00320E05">
        <w:rPr>
          <w:rFonts w:ascii="Maiandra GD" w:eastAsia="Times New Roman" w:hAnsi="Maiandra GD" w:cs="Times New Roman"/>
          <w:sz w:val="24"/>
          <w:szCs w:val="24"/>
        </w:rPr>
        <w:t xml:space="preserve"> will require all staff to provide proof of immunity to measles through either a documentation of vaccination, titer results, or history of the disease.  </w:t>
      </w:r>
      <w:r w:rsidRPr="00A41845">
        <w:rPr>
          <w:rFonts w:ascii="Maiandra GD" w:eastAsia="Times New Roman" w:hAnsi="Maiandra GD" w:cs="Times New Roman"/>
          <w:sz w:val="24"/>
          <w:szCs w:val="24"/>
        </w:rPr>
        <w:t xml:space="preserve"> </w:t>
      </w:r>
      <w:r w:rsidR="00320E05">
        <w:rPr>
          <w:rFonts w:ascii="Maiandra GD" w:eastAsia="Times New Roman" w:hAnsi="Maiandra GD" w:cs="Times New Roman"/>
          <w:sz w:val="24"/>
          <w:szCs w:val="24"/>
        </w:rPr>
        <w:t xml:space="preserve">Also, the IDPH will require any </w:t>
      </w:r>
      <w:r w:rsidRPr="00A41845">
        <w:rPr>
          <w:rFonts w:ascii="Maiandra GD" w:eastAsia="Times New Roman" w:hAnsi="Maiandra GD" w:cs="Times New Roman"/>
          <w:sz w:val="24"/>
          <w:szCs w:val="24"/>
        </w:rPr>
        <w:t xml:space="preserve">unvaccinated </w:t>
      </w:r>
      <w:r w:rsidR="00320E05">
        <w:rPr>
          <w:rFonts w:ascii="Maiandra GD" w:eastAsia="Times New Roman" w:hAnsi="Maiandra GD" w:cs="Times New Roman"/>
          <w:sz w:val="24"/>
          <w:szCs w:val="24"/>
        </w:rPr>
        <w:t>or non-immune students and/or staff to</w:t>
      </w:r>
      <w:r w:rsidRPr="00A41845">
        <w:rPr>
          <w:rFonts w:ascii="Maiandra GD" w:eastAsia="Times New Roman" w:hAnsi="Maiandra GD" w:cs="Times New Roman"/>
          <w:sz w:val="24"/>
          <w:szCs w:val="24"/>
        </w:rPr>
        <w:t xml:space="preserve"> be excluded from schoo</w:t>
      </w:r>
      <w:r>
        <w:rPr>
          <w:rFonts w:ascii="Maiandra GD" w:eastAsia="Times New Roman" w:hAnsi="Maiandra GD" w:cs="Times New Roman"/>
          <w:sz w:val="24"/>
          <w:szCs w:val="24"/>
        </w:rPr>
        <w:t xml:space="preserve">l for a minimum of 15-30 days. </w:t>
      </w:r>
      <w:r w:rsidRPr="00A41845">
        <w:rPr>
          <w:rFonts w:ascii="Maiandra GD" w:eastAsia="Times New Roman" w:hAnsi="Maiandra GD" w:cs="Times New Roman"/>
          <w:sz w:val="24"/>
          <w:szCs w:val="24"/>
        </w:rPr>
        <w:t xml:space="preserve"> </w:t>
      </w:r>
    </w:p>
    <w:p w:rsidR="00A41845" w:rsidRPr="00A41845" w:rsidRDefault="00A41845" w:rsidP="00A41845">
      <w:pPr>
        <w:ind w:left="360"/>
        <w:rPr>
          <w:rFonts w:ascii="Maiandra GD" w:eastAsia="Times New Roman" w:hAnsi="Maiandra GD" w:cs="Times New Roman"/>
          <w:sz w:val="24"/>
          <w:szCs w:val="24"/>
        </w:rPr>
      </w:pPr>
    </w:p>
    <w:p w:rsidR="00A41845" w:rsidRPr="00A41845" w:rsidRDefault="00A41845" w:rsidP="00A41845">
      <w:pPr>
        <w:ind w:left="360"/>
        <w:rPr>
          <w:rFonts w:ascii="Maiandra GD" w:eastAsia="Times New Roman" w:hAnsi="Maiandra GD" w:cs="Times New Roman"/>
          <w:sz w:val="24"/>
          <w:szCs w:val="24"/>
        </w:rPr>
      </w:pPr>
      <w:r w:rsidRPr="00A41845">
        <w:rPr>
          <w:rFonts w:ascii="Maiandra GD" w:eastAsia="Times New Roman" w:hAnsi="Maiandra GD" w:cs="Times New Roman"/>
          <w:sz w:val="24"/>
          <w:szCs w:val="24"/>
        </w:rPr>
        <w:t xml:space="preserve">If you have any questions regarding your MMR vaccination status please contact your doctor’s office or call the Cerro Gordo County Department of Public Health at 641-421-9300.  </w:t>
      </w:r>
    </w:p>
    <w:p w:rsidR="00596071" w:rsidRDefault="00596071" w:rsidP="00A41845"/>
    <w:p w:rsidR="00086765" w:rsidRPr="00086765" w:rsidRDefault="00086765" w:rsidP="00A41845">
      <w:pPr>
        <w:rPr>
          <w:sz w:val="24"/>
          <w:szCs w:val="24"/>
        </w:rPr>
      </w:pPr>
    </w:p>
    <w:p w:rsidR="00086765" w:rsidRDefault="00086765" w:rsidP="00A41845">
      <w:pPr>
        <w:rPr>
          <w:rFonts w:ascii="Maiandra GD" w:hAnsi="Maiandra GD"/>
          <w:sz w:val="24"/>
          <w:szCs w:val="24"/>
        </w:rPr>
      </w:pPr>
      <w:r w:rsidRPr="00086765">
        <w:rPr>
          <w:rFonts w:ascii="Maiandra GD" w:hAnsi="Maiandra GD"/>
          <w:sz w:val="24"/>
          <w:szCs w:val="24"/>
        </w:rPr>
        <w:t xml:space="preserve">     Thank You!</w:t>
      </w:r>
    </w:p>
    <w:p w:rsidR="00086765" w:rsidRPr="00086765" w:rsidRDefault="00086765" w:rsidP="00A41845">
      <w:pPr>
        <w:rPr>
          <w:rFonts w:ascii="Maiandra GD" w:hAnsi="Maiandra GD"/>
          <w:sz w:val="24"/>
          <w:szCs w:val="24"/>
        </w:rPr>
      </w:pPr>
    </w:p>
    <w:p w:rsidR="00086765" w:rsidRPr="00086765" w:rsidRDefault="00086765" w:rsidP="00A41845">
      <w:pPr>
        <w:rPr>
          <w:rFonts w:ascii="Maiandra GD" w:hAnsi="Maiandra GD"/>
          <w:sz w:val="24"/>
          <w:szCs w:val="24"/>
        </w:rPr>
      </w:pPr>
    </w:p>
    <w:p w:rsidR="00086765" w:rsidRDefault="00086765" w:rsidP="00672F72">
      <w:pPr>
        <w:rPr>
          <w:rFonts w:ascii="Maiandra GD" w:hAnsi="Maiandra GD"/>
          <w:sz w:val="24"/>
          <w:szCs w:val="24"/>
        </w:rPr>
      </w:pPr>
      <w:r w:rsidRPr="00086765">
        <w:rPr>
          <w:rFonts w:ascii="Maiandra GD" w:hAnsi="Maiandra GD"/>
          <w:sz w:val="24"/>
          <w:szCs w:val="24"/>
        </w:rPr>
        <w:t xml:space="preserve">     </w:t>
      </w:r>
      <w:r w:rsidR="00672F72">
        <w:rPr>
          <w:rFonts w:ascii="Maiandra GD" w:hAnsi="Maiandra GD"/>
          <w:sz w:val="24"/>
          <w:szCs w:val="24"/>
        </w:rPr>
        <w:t>Bethany Bjorklund RN, BSN</w:t>
      </w:r>
    </w:p>
    <w:p w:rsidR="00672F72" w:rsidRPr="00086765" w:rsidRDefault="00672F72" w:rsidP="00672F72">
      <w:pPr>
        <w:rPr>
          <w:rFonts w:ascii="Maiandra GD" w:hAnsi="Maiandra GD"/>
          <w:sz w:val="24"/>
          <w:szCs w:val="24"/>
        </w:rPr>
      </w:pPr>
      <w:r>
        <w:rPr>
          <w:rFonts w:ascii="Maiandra GD" w:hAnsi="Maiandra GD"/>
          <w:sz w:val="24"/>
          <w:szCs w:val="24"/>
        </w:rPr>
        <w:t xml:space="preserve">     Immunization Nurse</w:t>
      </w:r>
    </w:p>
    <w:p w:rsidR="00086765" w:rsidRPr="00086765" w:rsidRDefault="00086765" w:rsidP="00A41845">
      <w:pPr>
        <w:rPr>
          <w:rFonts w:ascii="Maiandra GD" w:hAnsi="Maiandra GD"/>
          <w:sz w:val="24"/>
          <w:szCs w:val="24"/>
        </w:rPr>
      </w:pPr>
      <w:r w:rsidRPr="00086765">
        <w:rPr>
          <w:rFonts w:ascii="Maiandra GD" w:hAnsi="Maiandra GD"/>
          <w:sz w:val="24"/>
          <w:szCs w:val="24"/>
        </w:rPr>
        <w:t xml:space="preserve">     Cerro Gordo County Department of Public Health</w:t>
      </w:r>
    </w:p>
    <w:p w:rsidR="00086765" w:rsidRPr="00086765" w:rsidRDefault="00086765" w:rsidP="00A41845">
      <w:pPr>
        <w:rPr>
          <w:rFonts w:ascii="Maiandra GD" w:hAnsi="Maiandra GD"/>
          <w:sz w:val="22"/>
          <w:szCs w:val="22"/>
        </w:rPr>
      </w:pPr>
    </w:p>
    <w:sectPr w:rsidR="00086765" w:rsidRPr="00086765" w:rsidSect="00A41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F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59A40F4"/>
    <w:multiLevelType w:val="hybridMultilevel"/>
    <w:tmpl w:val="B7FC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86135"/>
    <w:multiLevelType w:val="hybridMultilevel"/>
    <w:tmpl w:val="EADCA2E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E33742B"/>
    <w:multiLevelType w:val="hybridMultilevel"/>
    <w:tmpl w:val="878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03C76"/>
    <w:multiLevelType w:val="hybridMultilevel"/>
    <w:tmpl w:val="954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45"/>
    <w:rsid w:val="00030035"/>
    <w:rsid w:val="00086765"/>
    <w:rsid w:val="000F59F2"/>
    <w:rsid w:val="002C116E"/>
    <w:rsid w:val="002E0D1A"/>
    <w:rsid w:val="00320E05"/>
    <w:rsid w:val="00596071"/>
    <w:rsid w:val="005C0041"/>
    <w:rsid w:val="00672F72"/>
    <w:rsid w:val="00696529"/>
    <w:rsid w:val="006A3B13"/>
    <w:rsid w:val="00706F08"/>
    <w:rsid w:val="00761794"/>
    <w:rsid w:val="00A41845"/>
    <w:rsid w:val="00A84C11"/>
    <w:rsid w:val="00F2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F72"/>
    <w:rPr>
      <w:rFonts w:ascii="Tahoma" w:hAnsi="Tahoma" w:cs="Tahoma"/>
      <w:sz w:val="16"/>
      <w:szCs w:val="16"/>
    </w:rPr>
  </w:style>
  <w:style w:type="character" w:customStyle="1" w:styleId="BalloonTextChar">
    <w:name w:val="Balloon Text Char"/>
    <w:basedOn w:val="DefaultParagraphFont"/>
    <w:link w:val="BalloonText"/>
    <w:uiPriority w:val="99"/>
    <w:semiHidden/>
    <w:rsid w:val="00672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F72"/>
    <w:rPr>
      <w:rFonts w:ascii="Tahoma" w:hAnsi="Tahoma" w:cs="Tahoma"/>
      <w:sz w:val="16"/>
      <w:szCs w:val="16"/>
    </w:rPr>
  </w:style>
  <w:style w:type="character" w:customStyle="1" w:styleId="BalloonTextChar">
    <w:name w:val="Balloon Text Char"/>
    <w:basedOn w:val="DefaultParagraphFont"/>
    <w:link w:val="BalloonText"/>
    <w:uiPriority w:val="99"/>
    <w:semiHidden/>
    <w:rsid w:val="00672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CGPH</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Stiles</dc:creator>
  <cp:lastModifiedBy>td</cp:lastModifiedBy>
  <cp:revision>2</cp:revision>
  <dcterms:created xsi:type="dcterms:W3CDTF">2015-02-13T18:17:00Z</dcterms:created>
  <dcterms:modified xsi:type="dcterms:W3CDTF">2015-02-13T18:17:00Z</dcterms:modified>
</cp:coreProperties>
</file>